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1B" w:rsidRPr="00837D3E" w:rsidRDefault="00043D1B" w:rsidP="00C53D2C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C53D2C" w:rsidRDefault="00043D1B" w:rsidP="00C53D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43D1B" w:rsidRPr="00C53D2C" w:rsidRDefault="00043D1B" w:rsidP="00C53D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lastRenderedPageBreak/>
        <w:t xml:space="preserve">Круг экстремистских преступлений достаточно широк. В соответствии с примечанием 2 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моральномуэкстремистскому давлению или стали свидетелями данных проявлений,если в адрес Вас или Ваших детей поступают предложения о совершении действий экстремистского характера и (или) поддержке экстремистских организацийпросим Вас незамедлительно проинформировать об этомпо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857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E4" w:rsidRDefault="003D42E4" w:rsidP="00FF3F7C">
      <w:pPr>
        <w:spacing w:after="0" w:line="240" w:lineRule="auto"/>
      </w:pPr>
      <w:r>
        <w:separator/>
      </w:r>
    </w:p>
  </w:endnote>
  <w:endnote w:type="continuationSeparator" w:id="1">
    <w:p w:rsidR="003D42E4" w:rsidRDefault="003D42E4" w:rsidP="00F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E4" w:rsidRDefault="003D42E4" w:rsidP="00FF3F7C">
      <w:pPr>
        <w:spacing w:after="0" w:line="240" w:lineRule="auto"/>
      </w:pPr>
      <w:r>
        <w:separator/>
      </w:r>
    </w:p>
  </w:footnote>
  <w:footnote w:type="continuationSeparator" w:id="1">
    <w:p w:rsidR="003D42E4" w:rsidRDefault="003D42E4" w:rsidP="00F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110A6"/>
    <w:rsid w:val="00251153"/>
    <w:rsid w:val="002A0589"/>
    <w:rsid w:val="002B7A32"/>
    <w:rsid w:val="002F498F"/>
    <w:rsid w:val="002F5395"/>
    <w:rsid w:val="00314DE4"/>
    <w:rsid w:val="0031550F"/>
    <w:rsid w:val="003D42E4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43B6A"/>
    <w:rsid w:val="00857619"/>
    <w:rsid w:val="008F3470"/>
    <w:rsid w:val="009D2087"/>
    <w:rsid w:val="009F7B6F"/>
    <w:rsid w:val="00A044E7"/>
    <w:rsid w:val="00A43EE2"/>
    <w:rsid w:val="00A9113A"/>
    <w:rsid w:val="00AC333E"/>
    <w:rsid w:val="00AE75D4"/>
    <w:rsid w:val="00B247B8"/>
    <w:rsid w:val="00B7512A"/>
    <w:rsid w:val="00BD634A"/>
    <w:rsid w:val="00BF55B0"/>
    <w:rsid w:val="00C43269"/>
    <w:rsid w:val="00C50179"/>
    <w:rsid w:val="00C53D2C"/>
    <w:rsid w:val="00C93BF6"/>
    <w:rsid w:val="00C958FB"/>
    <w:rsid w:val="00C96B31"/>
    <w:rsid w:val="00D15944"/>
    <w:rsid w:val="00D2584A"/>
    <w:rsid w:val="00D90110"/>
    <w:rsid w:val="00DB71A3"/>
    <w:rsid w:val="00DC20D3"/>
    <w:rsid w:val="00DE03C5"/>
    <w:rsid w:val="00DE6C1B"/>
    <w:rsid w:val="00E21BD2"/>
    <w:rsid w:val="00E45804"/>
    <w:rsid w:val="00EA3077"/>
    <w:rsid w:val="00F24BF3"/>
    <w:rsid w:val="00F6333E"/>
    <w:rsid w:val="00F7124A"/>
    <w:rsid w:val="00F74819"/>
    <w:rsid w:val="00FD5D1F"/>
    <w:rsid w:val="00FE2679"/>
    <w:rsid w:val="00FE3058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2017-11-02T11:19:00Z</cp:lastPrinted>
  <dcterms:created xsi:type="dcterms:W3CDTF">2017-12-04T11:46:00Z</dcterms:created>
  <dcterms:modified xsi:type="dcterms:W3CDTF">2017-12-04T14:21:00Z</dcterms:modified>
</cp:coreProperties>
</file>